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MATA NATHAN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7708 MARKER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BELITE 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BLTE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4"/>
        <w:gridCol w:w="931"/>
        <w:gridCol w:w="799"/>
        <w:gridCol w:w="618"/>
        <w:gridCol w:w="346"/>
        <w:gridCol w:w="778"/>
        <w:gridCol w:w="431"/>
        <w:gridCol w:w="1102"/>
        <w:gridCol w:w="1137"/>
        <w:gridCol w:w="984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153.9217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154.4433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155.4771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157.2897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158.11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par value US$0.0001 per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this Form 4 were effected pursuant to a Rule 10b5-1 trading plan adopted by the reporting person on 12/10/2025.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shares sold at prices that ranged from $153.92 to $153.93.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shares sold at prices that ranged from $154.01 to $154.955.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shares sold at prices that ranged from $155.04 to $155.91.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shares sold at prices that ranged from $156.005 to $156.94.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shares sold at prices that ranged from $157.035 to $157.99. The reporting person hereby undertakes to provide upon request to the SEC staff, the issuer or a security holder of the issuer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L. Mata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3987" TargetMode="External"/><Relationship Id="rId5" Type="http://schemas.openxmlformats.org/officeDocument/2006/relationships/hyperlink" Target="http://www.sec.gov/cgi-bin/browse-edgar?action=getcompany&amp;CIK=000188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907</Words>
  <Characters>4838</Characters>
  <CharactersWithSpaces>5656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